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47" w:rsidRDefault="00CE5D7E" w:rsidP="00CE5D7E">
      <w:pPr>
        <w:jc w:val="center"/>
      </w:pPr>
      <w:r>
        <w:t>PROTOKÓŁ</w:t>
      </w:r>
    </w:p>
    <w:p w:rsidR="00CE5D7E" w:rsidRDefault="00CE5D7E" w:rsidP="00CE5D7E">
      <w:pPr>
        <w:jc w:val="center"/>
      </w:pPr>
      <w:r>
        <w:t>KONSULTACJI PRZYGOTOWANIA LOKALNEJ STRATEGII ROZWOJU REGIONU KOZŁA</w:t>
      </w:r>
    </w:p>
    <w:p w:rsidR="00CE5D7E" w:rsidRDefault="00CE5D7E" w:rsidP="00CE5D7E">
      <w:pPr>
        <w:jc w:val="center"/>
      </w:pPr>
      <w:r>
        <w:t>NA LATA 2014 – 2020</w:t>
      </w:r>
    </w:p>
    <w:p w:rsidR="00CE5D7E" w:rsidRDefault="00CE5D7E" w:rsidP="00CE5D7E">
      <w:r>
        <w:t>Konsultacje związane z opracowaniem Lokalnej Strategii Rozwoju Regionu Kozła na lata 2014 – 2020 odbyły się wg ustalonego harmonogramu spotkań w następujących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163"/>
        <w:gridCol w:w="2060"/>
      </w:tblGrid>
      <w:tr w:rsidR="00CE5D7E" w:rsidTr="00F2232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proofErr w:type="spellStart"/>
            <w:r>
              <w:t>Lp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TERMIN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MIEJSCE KONSULTACJI</w:t>
            </w:r>
          </w:p>
        </w:tc>
      </w:tr>
      <w:tr w:rsidR="00CE5D7E" w:rsidTr="00F2232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Pr="005A0729" w:rsidRDefault="00CE5D7E" w:rsidP="00CE5D7E">
            <w:pPr>
              <w:rPr>
                <w:b/>
              </w:rPr>
            </w:pPr>
            <w:r w:rsidRPr="005A0729">
              <w:rPr>
                <w:b/>
              </w:rPr>
              <w:t xml:space="preserve">03.09.2015, godz. </w:t>
            </w:r>
            <w:r>
              <w:rPr>
                <w:b/>
              </w:rPr>
              <w:t>9</w:t>
            </w:r>
            <w:r w:rsidRPr="005A0729">
              <w:rPr>
                <w:b/>
              </w:rPr>
              <w:t>:30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Urząd Miejski w Babimoście</w:t>
            </w:r>
          </w:p>
        </w:tc>
      </w:tr>
      <w:tr w:rsidR="00CE5D7E" w:rsidTr="00F2232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Pr="005A0729" w:rsidRDefault="00CE5D7E" w:rsidP="00303D6E">
            <w:pPr>
              <w:rPr>
                <w:b/>
              </w:rPr>
            </w:pPr>
            <w:r w:rsidRPr="005A0729">
              <w:rPr>
                <w:b/>
              </w:rPr>
              <w:t>04.09.2015, godz. 11:30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Urząd Miejski w Kargowej</w:t>
            </w:r>
          </w:p>
        </w:tc>
      </w:tr>
      <w:tr w:rsidR="00CE5D7E" w:rsidTr="00F2232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Pr="005A0729" w:rsidRDefault="00CE5D7E" w:rsidP="00303D6E">
            <w:pPr>
              <w:rPr>
                <w:b/>
              </w:rPr>
            </w:pPr>
            <w:r w:rsidRPr="005A0729">
              <w:rPr>
                <w:b/>
              </w:rPr>
              <w:t>07.09.2015- godz. 11:30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Urząd Miejski w Trzcielu</w:t>
            </w:r>
          </w:p>
        </w:tc>
      </w:tr>
      <w:tr w:rsidR="00CE5D7E" w:rsidTr="00F2232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Pr="005A0729" w:rsidRDefault="00CE5D7E" w:rsidP="00303D6E">
            <w:pPr>
              <w:rPr>
                <w:b/>
              </w:rPr>
            </w:pPr>
            <w:r w:rsidRPr="005A0729">
              <w:rPr>
                <w:b/>
              </w:rPr>
              <w:t xml:space="preserve">08.09.2015 – godz. 11:30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Urząd Miejski w Zbąszynku</w:t>
            </w:r>
          </w:p>
        </w:tc>
      </w:tr>
      <w:tr w:rsidR="00CE5D7E" w:rsidTr="00F2232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Pr="005A0729" w:rsidRDefault="00CE5D7E" w:rsidP="00303D6E">
            <w:pPr>
              <w:rPr>
                <w:b/>
              </w:rPr>
            </w:pPr>
            <w:r w:rsidRPr="005A0729">
              <w:rPr>
                <w:b/>
              </w:rPr>
              <w:t>09.09.2015 – godz. 11:30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Urząd Gminy w Siedlcu</w:t>
            </w:r>
          </w:p>
        </w:tc>
      </w:tr>
      <w:tr w:rsidR="00CE5D7E" w:rsidTr="00F2232C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Pr="005A0729" w:rsidRDefault="00CE5D7E" w:rsidP="00303D6E">
            <w:pPr>
              <w:rPr>
                <w:b/>
              </w:rPr>
            </w:pPr>
            <w:r w:rsidRPr="005A0729">
              <w:rPr>
                <w:b/>
              </w:rPr>
              <w:t>10.09.2015 – godz. 11:30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E" w:rsidRDefault="00CE5D7E" w:rsidP="00303D6E">
            <w:r>
              <w:t>Urząd Miejski w Zbąszyniu</w:t>
            </w:r>
          </w:p>
        </w:tc>
      </w:tr>
    </w:tbl>
    <w:p w:rsidR="00CE5D7E" w:rsidRDefault="00CE5D7E" w:rsidP="00CE5D7E"/>
    <w:p w:rsidR="00F2232C" w:rsidRDefault="00CE5D7E" w:rsidP="008B24B9">
      <w:pPr>
        <w:ind w:firstLine="708"/>
        <w:jc w:val="both"/>
      </w:pPr>
      <w:r>
        <w:t xml:space="preserve">Do udziału w spotkaniach zostały zaproszone osoby z poszczególnych gmin reprezentujące oświatę, kulturę, sport, turystykę, gospodarkę, mieszkańców, organizacje pozarządowe  </w:t>
      </w:r>
      <w:bookmarkStart w:id="0" w:name="_GoBack"/>
      <w:bookmarkEnd w:id="0"/>
      <w:r>
        <w:t xml:space="preserve">oraz lokalną administrację samorządową. </w:t>
      </w:r>
      <w:r w:rsidR="00B22636">
        <w:t xml:space="preserve">Prowadzeniem tych moderowanych konsultacji był prezes Zarządu LGD RK – Witold Silski. </w:t>
      </w:r>
    </w:p>
    <w:p w:rsidR="002A6555" w:rsidRDefault="00B22636" w:rsidP="008B24B9">
      <w:pPr>
        <w:ind w:firstLine="708"/>
        <w:jc w:val="both"/>
      </w:pPr>
      <w:r>
        <w:t xml:space="preserve">Podczas wszystkich tych spotkań zostały omówione trzy zasadnicze  zagadnienia, mogące stanowić podstawę do ustalenia celów głównych i szczegółowych strategii dla Regionu Kozła. Pierwsza kwestia dotyczyła odpowiedzi na pytanie, co łączy Region Kozła? Jako najważniejszy element łączący mieszkańców regionu wysuwano wspólną tradycję, historię , folklor( stroje) oraz instrument muzyczny – kozioł, którym posługują się kapele koźlarskie grające prawie we wszystkich gminach regionu. </w:t>
      </w:r>
      <w:r w:rsidR="002A6555">
        <w:t xml:space="preserve">Kolejne wspólne cechy ustalone przez przedstawicieli gmin to: </w:t>
      </w:r>
    </w:p>
    <w:p w:rsidR="00B22636" w:rsidRDefault="00F2232C" w:rsidP="008B24B9">
      <w:pPr>
        <w:spacing w:after="0"/>
        <w:jc w:val="both"/>
      </w:pPr>
      <w:r>
        <w:t>1. W</w:t>
      </w:r>
      <w:r w:rsidR="002A6555">
        <w:t xml:space="preserve">alory turystyczne, rzeka Obra, jeziora, zalesienie, </w:t>
      </w:r>
    </w:p>
    <w:p w:rsidR="002A6555" w:rsidRDefault="00F2232C" w:rsidP="008B24B9">
      <w:pPr>
        <w:spacing w:after="0"/>
        <w:jc w:val="both"/>
      </w:pPr>
      <w:r>
        <w:t>2. L</w:t>
      </w:r>
      <w:r w:rsidR="002A6555">
        <w:t>iczne zabytki , mogące przyciągać turystów,</w:t>
      </w:r>
    </w:p>
    <w:p w:rsidR="002A6555" w:rsidRDefault="00F2232C" w:rsidP="008B24B9">
      <w:pPr>
        <w:spacing w:after="0"/>
        <w:jc w:val="both"/>
      </w:pPr>
      <w:r>
        <w:t>3. D</w:t>
      </w:r>
      <w:r w:rsidR="002A6555">
        <w:t xml:space="preserve">obre warunki komunikacyjne, </w:t>
      </w:r>
    </w:p>
    <w:p w:rsidR="002A6555" w:rsidRDefault="00F2232C" w:rsidP="008B24B9">
      <w:pPr>
        <w:spacing w:after="0"/>
        <w:jc w:val="both"/>
      </w:pPr>
      <w:r>
        <w:t>4. P</w:t>
      </w:r>
      <w:r w:rsidR="002A6555">
        <w:t>oczucie tożsamości mieszkańców i utożsamianie się z regionem,</w:t>
      </w:r>
    </w:p>
    <w:p w:rsidR="002A6555" w:rsidRDefault="00F2232C" w:rsidP="008B24B9">
      <w:pPr>
        <w:spacing w:after="0"/>
        <w:jc w:val="both"/>
      </w:pPr>
      <w:r>
        <w:t>5. N</w:t>
      </w:r>
      <w:r w:rsidR="002A6555">
        <w:t>iski wskaźnik bezrobocia, istnienie dużych zakładów produkcyjnych i dobrze rozwinięte gospodarstwa rolne,</w:t>
      </w:r>
    </w:p>
    <w:p w:rsidR="002A6555" w:rsidRDefault="00F2232C" w:rsidP="008B24B9">
      <w:pPr>
        <w:spacing w:after="0"/>
        <w:jc w:val="both"/>
      </w:pPr>
      <w:r>
        <w:t>6. W</w:t>
      </w:r>
      <w:r w:rsidR="002A6555">
        <w:t>spólna trudna historia, integrująca mieszkańców ( zabory, Powstanie Wlkp.,</w:t>
      </w:r>
      <w:r>
        <w:t xml:space="preserve"> </w:t>
      </w:r>
      <w:r w:rsidR="002A6555">
        <w:t>i okres okupacji)</w:t>
      </w:r>
    </w:p>
    <w:p w:rsidR="002A6555" w:rsidRDefault="00F2232C" w:rsidP="008B24B9">
      <w:pPr>
        <w:spacing w:after="0"/>
        <w:jc w:val="both"/>
      </w:pPr>
      <w:r>
        <w:t>7. N</w:t>
      </w:r>
      <w:r w:rsidR="002A6555">
        <w:t>ieźle rozwinięta infrastruktura drogowa, ścieżki rowerowe i szlaki turystyczne.</w:t>
      </w:r>
    </w:p>
    <w:p w:rsidR="002A6555" w:rsidRDefault="00220C1F" w:rsidP="008B24B9">
      <w:pPr>
        <w:spacing w:after="0"/>
        <w:jc w:val="both"/>
      </w:pPr>
      <w:r>
        <w:t>8. W</w:t>
      </w:r>
      <w:r w:rsidR="002A6555">
        <w:t>iele osiągnięć sportowych w różnych dyscyplinach sportowych ( unihokej, zapasy, tenis stołowy, badminton)</w:t>
      </w:r>
    </w:p>
    <w:p w:rsidR="002A6555" w:rsidRDefault="002A6555" w:rsidP="008B24B9">
      <w:pPr>
        <w:spacing w:after="0"/>
        <w:jc w:val="both"/>
      </w:pPr>
      <w:r>
        <w:t>Każdy</w:t>
      </w:r>
      <w:r w:rsidR="00525990">
        <w:t xml:space="preserve"> </w:t>
      </w:r>
      <w:r>
        <w:t xml:space="preserve">z tych zespołów </w:t>
      </w:r>
      <w:r w:rsidR="00525990">
        <w:t>przygotował wykaz tych cech na piśmie, które stanowią załącznik do niniejszego protokołu.</w:t>
      </w:r>
    </w:p>
    <w:p w:rsidR="0085329F" w:rsidRDefault="0085329F" w:rsidP="008B24B9">
      <w:pPr>
        <w:ind w:firstLine="360"/>
        <w:jc w:val="both"/>
      </w:pPr>
      <w:r>
        <w:t xml:space="preserve">Drugim elementem omawianym na spotkaniach konsultacyjnych było przeprowadzenie analizy SWOT. Czynności w tym zakresie były prowadzone w grupach, których uczestnicy dokonywali systematyzacji cech w podziale na silne i słabe strony, a następnie ustalali możliwe zagrożenia i szanse dla regionu. Z przeprowadzonych analiz wynika, ze w ramach silnych stron najczęściej wymieniano: </w:t>
      </w:r>
    </w:p>
    <w:p w:rsidR="0085329F" w:rsidRDefault="0085329F" w:rsidP="0085329F">
      <w:pPr>
        <w:pStyle w:val="Akapitzlist"/>
        <w:numPr>
          <w:ilvl w:val="0"/>
          <w:numId w:val="1"/>
        </w:numPr>
      </w:pPr>
      <w:r>
        <w:lastRenderedPageBreak/>
        <w:t xml:space="preserve">Wspólne, bogate dziedzictwo kulturowe, </w:t>
      </w:r>
    </w:p>
    <w:p w:rsidR="0085329F" w:rsidRDefault="0085329F" w:rsidP="0085329F">
      <w:pPr>
        <w:pStyle w:val="Akapitzlist"/>
        <w:numPr>
          <w:ilvl w:val="0"/>
          <w:numId w:val="1"/>
        </w:numPr>
      </w:pPr>
      <w:r>
        <w:t>Walory przyrodnicze i krajobrazowe,</w:t>
      </w:r>
    </w:p>
    <w:p w:rsidR="0085329F" w:rsidRDefault="0085329F" w:rsidP="0085329F">
      <w:pPr>
        <w:pStyle w:val="Akapitzlist"/>
        <w:numPr>
          <w:ilvl w:val="0"/>
          <w:numId w:val="1"/>
        </w:numPr>
      </w:pPr>
      <w:r>
        <w:t>Korzystne położenie geograficzne, niewielka odległość od dużych ośrodków miejskich,</w:t>
      </w:r>
    </w:p>
    <w:p w:rsidR="0085329F" w:rsidRDefault="00A071E0" w:rsidP="0085329F">
      <w:pPr>
        <w:pStyle w:val="Akapitzlist"/>
        <w:numPr>
          <w:ilvl w:val="0"/>
          <w:numId w:val="1"/>
        </w:numPr>
      </w:pPr>
      <w:r>
        <w:t>Atrakcyjny obszar pod wzgl</w:t>
      </w:r>
      <w:r w:rsidR="00220C1F">
        <w:t>ędem</w:t>
      </w:r>
      <w:r>
        <w:t xml:space="preserve"> turystycznym i wypoczynkowym</w:t>
      </w:r>
    </w:p>
    <w:p w:rsidR="00486537" w:rsidRDefault="00486537" w:rsidP="0085329F">
      <w:pPr>
        <w:pStyle w:val="Akapitzlist"/>
        <w:numPr>
          <w:ilvl w:val="0"/>
          <w:numId w:val="1"/>
        </w:numPr>
      </w:pPr>
      <w:r>
        <w:t>Wspólne tradycje i obyczaje</w:t>
      </w:r>
    </w:p>
    <w:p w:rsidR="00A071E0" w:rsidRDefault="00A071E0" w:rsidP="0085329F">
      <w:pPr>
        <w:pStyle w:val="Akapitzlist"/>
        <w:numPr>
          <w:ilvl w:val="0"/>
          <w:numId w:val="1"/>
        </w:numPr>
      </w:pPr>
      <w:r>
        <w:t>Duży potencjał turystyczny</w:t>
      </w:r>
    </w:p>
    <w:p w:rsidR="00486537" w:rsidRDefault="00486537" w:rsidP="0085329F">
      <w:pPr>
        <w:pStyle w:val="Akapitzlist"/>
        <w:numPr>
          <w:ilvl w:val="0"/>
          <w:numId w:val="1"/>
        </w:numPr>
      </w:pPr>
      <w:r>
        <w:t>Rzeka Obra i liczne jeziora</w:t>
      </w:r>
    </w:p>
    <w:p w:rsidR="00A071E0" w:rsidRDefault="00A071E0" w:rsidP="0085329F">
      <w:pPr>
        <w:pStyle w:val="Akapitzlist"/>
        <w:numPr>
          <w:ilvl w:val="0"/>
          <w:numId w:val="1"/>
        </w:numPr>
      </w:pPr>
      <w:r>
        <w:t>Aktywność gospodarcza mieszkańców</w:t>
      </w:r>
      <w:r w:rsidR="00486537">
        <w:t xml:space="preserve"> i aktywne gminy</w:t>
      </w:r>
    </w:p>
    <w:p w:rsidR="00A071E0" w:rsidRDefault="00A071E0" w:rsidP="0085329F">
      <w:pPr>
        <w:pStyle w:val="Akapitzlist"/>
        <w:numPr>
          <w:ilvl w:val="0"/>
          <w:numId w:val="1"/>
        </w:numPr>
      </w:pPr>
      <w:r>
        <w:t>Niski poziom bezrobocia</w:t>
      </w:r>
    </w:p>
    <w:p w:rsidR="00486537" w:rsidRDefault="00486537" w:rsidP="0085329F">
      <w:pPr>
        <w:pStyle w:val="Akapitzlist"/>
        <w:numPr>
          <w:ilvl w:val="0"/>
          <w:numId w:val="1"/>
        </w:numPr>
      </w:pPr>
      <w:r>
        <w:t>Duża liczba aktywnych organizacji społecznych</w:t>
      </w:r>
    </w:p>
    <w:p w:rsidR="00A071E0" w:rsidRDefault="00A071E0" w:rsidP="0085329F">
      <w:pPr>
        <w:pStyle w:val="Akapitzlist"/>
        <w:numPr>
          <w:ilvl w:val="0"/>
          <w:numId w:val="1"/>
        </w:numPr>
      </w:pPr>
      <w:r>
        <w:t>Duże doświadczenie w pozyskiwaniu środków pomocowych z Unii Europejskiej</w:t>
      </w:r>
    </w:p>
    <w:p w:rsidR="00A071E0" w:rsidRDefault="00A071E0" w:rsidP="0085329F">
      <w:pPr>
        <w:pStyle w:val="Akapitzlist"/>
        <w:numPr>
          <w:ilvl w:val="0"/>
          <w:numId w:val="1"/>
        </w:numPr>
      </w:pPr>
      <w:r>
        <w:t>Operatywność władz samorządowych</w:t>
      </w:r>
    </w:p>
    <w:p w:rsidR="00A071E0" w:rsidRDefault="00486537" w:rsidP="00486537">
      <w:r>
        <w:t>Na pozostałych miejscach uplasowały się takie cechy, jak: liczne zabytki, dobrze rozpoznawalna marka „Region Kozła”, Duża liczba wyremontowanych świetlic wiejskich, duże doświadczenie w pozyskiwaniu środków pomocowych, duża liczba placów zabaw, niski poziom zanieczyszczenia środowiska lokalnego, rozwinięta sieć komunikacyjna.</w:t>
      </w:r>
    </w:p>
    <w:p w:rsidR="00486537" w:rsidRDefault="00486537" w:rsidP="00486537">
      <w:r>
        <w:t xml:space="preserve">Do słabych stron zaliczono: </w:t>
      </w:r>
    </w:p>
    <w:p w:rsidR="00486537" w:rsidRDefault="00486537" w:rsidP="00486537">
      <w:pPr>
        <w:pStyle w:val="Akapitzlist"/>
        <w:numPr>
          <w:ilvl w:val="0"/>
          <w:numId w:val="2"/>
        </w:numPr>
      </w:pPr>
      <w:r>
        <w:t>Mała aktywność mieszkańców,</w:t>
      </w:r>
    </w:p>
    <w:p w:rsidR="00486537" w:rsidRDefault="00486537" w:rsidP="00486537">
      <w:pPr>
        <w:pStyle w:val="Akapitzlist"/>
        <w:numPr>
          <w:ilvl w:val="0"/>
          <w:numId w:val="2"/>
        </w:numPr>
      </w:pPr>
      <w:r>
        <w:t>Brak oferty dla młodzieży,</w:t>
      </w:r>
    </w:p>
    <w:p w:rsidR="00486537" w:rsidRDefault="00486537" w:rsidP="00486537">
      <w:pPr>
        <w:pStyle w:val="Akapitzlist"/>
        <w:numPr>
          <w:ilvl w:val="0"/>
          <w:numId w:val="2"/>
        </w:numPr>
      </w:pPr>
      <w:r>
        <w:t>Zły stan dróg i chodników zwłaszcza na wsi,</w:t>
      </w:r>
    </w:p>
    <w:p w:rsidR="00486537" w:rsidRDefault="00486537" w:rsidP="00486537">
      <w:pPr>
        <w:pStyle w:val="Akapitzlist"/>
        <w:numPr>
          <w:ilvl w:val="0"/>
          <w:numId w:val="2"/>
        </w:numPr>
      </w:pPr>
      <w:r>
        <w:t>Małe wykorzystanie odnawialnych źródeł energii</w:t>
      </w:r>
    </w:p>
    <w:p w:rsidR="004E48FE" w:rsidRDefault="004E48FE" w:rsidP="00486537">
      <w:pPr>
        <w:pStyle w:val="Akapitzlist"/>
        <w:numPr>
          <w:ilvl w:val="0"/>
          <w:numId w:val="2"/>
        </w:numPr>
      </w:pPr>
      <w:r>
        <w:t>Brak odpowiednich do potrzeb rynku kierunków kształcenia</w:t>
      </w:r>
    </w:p>
    <w:p w:rsidR="004E48FE" w:rsidRDefault="004E48FE" w:rsidP="00486537">
      <w:pPr>
        <w:pStyle w:val="Akapitzlist"/>
        <w:numPr>
          <w:ilvl w:val="0"/>
          <w:numId w:val="2"/>
        </w:numPr>
      </w:pPr>
      <w:r>
        <w:t>Słabo rozwinięta sieć szlaków turystycznych</w:t>
      </w:r>
    </w:p>
    <w:p w:rsidR="004E48FE" w:rsidRDefault="004E48FE" w:rsidP="00486537">
      <w:pPr>
        <w:pStyle w:val="Akapitzlist"/>
        <w:numPr>
          <w:ilvl w:val="0"/>
          <w:numId w:val="2"/>
        </w:numPr>
      </w:pPr>
      <w:r>
        <w:t>Niewielkie wykorzystanie walorów przyrodniczych i krajobrazowych</w:t>
      </w:r>
    </w:p>
    <w:p w:rsidR="004E48FE" w:rsidRDefault="004E48FE" w:rsidP="00486537">
      <w:pPr>
        <w:pStyle w:val="Akapitzlist"/>
        <w:numPr>
          <w:ilvl w:val="0"/>
          <w:numId w:val="2"/>
        </w:numPr>
      </w:pPr>
      <w:r>
        <w:t>Ubogi zakres usług gospodarstw agroturystycznych</w:t>
      </w:r>
    </w:p>
    <w:p w:rsidR="004E48FE" w:rsidRDefault="004E48FE" w:rsidP="00486537">
      <w:pPr>
        <w:pStyle w:val="Akapitzlist"/>
        <w:numPr>
          <w:ilvl w:val="0"/>
          <w:numId w:val="2"/>
        </w:numPr>
      </w:pPr>
      <w:r>
        <w:t>Bezrobocie zwłaszcza kobiet i osób po 50</w:t>
      </w:r>
      <w:r w:rsidR="00C9462B">
        <w:t xml:space="preserve"> roku ż</w:t>
      </w:r>
      <w:r>
        <w:t>ycia</w:t>
      </w:r>
    </w:p>
    <w:p w:rsidR="004E48FE" w:rsidRDefault="00C9462B" w:rsidP="00486537">
      <w:pPr>
        <w:pStyle w:val="Akapitzlist"/>
        <w:numPr>
          <w:ilvl w:val="0"/>
          <w:numId w:val="2"/>
        </w:numPr>
      </w:pPr>
      <w:r>
        <w:t>Brak kompleksowych informacji na temat walorów turystycznych oraz obiektów związanych z dziedzictwem kulturowym i historycznym regionu</w:t>
      </w:r>
    </w:p>
    <w:p w:rsidR="00C9462B" w:rsidRDefault="00C9462B" w:rsidP="00486537">
      <w:pPr>
        <w:pStyle w:val="Akapitzlist"/>
        <w:numPr>
          <w:ilvl w:val="0"/>
          <w:numId w:val="2"/>
        </w:numPr>
      </w:pPr>
      <w:r>
        <w:t>Ukryte bezrobocie</w:t>
      </w:r>
    </w:p>
    <w:p w:rsidR="00C9462B" w:rsidRDefault="00C9462B" w:rsidP="00486537">
      <w:pPr>
        <w:pStyle w:val="Akapitzlist"/>
        <w:numPr>
          <w:ilvl w:val="0"/>
          <w:numId w:val="2"/>
        </w:numPr>
      </w:pPr>
      <w:r>
        <w:t>Niskie przygotowanie zawodowe bezrobotnych</w:t>
      </w:r>
    </w:p>
    <w:p w:rsidR="00C9462B" w:rsidRDefault="00C9462B" w:rsidP="00486537">
      <w:pPr>
        <w:pStyle w:val="Akapitzlist"/>
        <w:numPr>
          <w:ilvl w:val="0"/>
          <w:numId w:val="2"/>
        </w:numPr>
      </w:pPr>
      <w:r>
        <w:t>Niska jakość gleb</w:t>
      </w:r>
    </w:p>
    <w:p w:rsidR="00C9462B" w:rsidRDefault="00C9462B" w:rsidP="00486537">
      <w:pPr>
        <w:pStyle w:val="Akapitzlist"/>
        <w:numPr>
          <w:ilvl w:val="0"/>
          <w:numId w:val="2"/>
        </w:numPr>
      </w:pPr>
      <w:r>
        <w:t>Niewielka promocja regionu</w:t>
      </w:r>
    </w:p>
    <w:p w:rsidR="00C9462B" w:rsidRDefault="00C9462B" w:rsidP="00486537">
      <w:pPr>
        <w:pStyle w:val="Akapitzlist"/>
        <w:numPr>
          <w:ilvl w:val="0"/>
          <w:numId w:val="2"/>
        </w:numPr>
      </w:pPr>
      <w:r>
        <w:t>Brak na obszarze bogactw naturalnych</w:t>
      </w:r>
    </w:p>
    <w:p w:rsidR="00EE480E" w:rsidRDefault="00C9462B" w:rsidP="00EE480E">
      <w:pPr>
        <w:pStyle w:val="Akapitzlist"/>
        <w:numPr>
          <w:ilvl w:val="0"/>
          <w:numId w:val="2"/>
        </w:numPr>
      </w:pPr>
      <w:r>
        <w:t>Niedostatecznie rozwinięta infrastruktura komunalna</w:t>
      </w:r>
    </w:p>
    <w:p w:rsidR="00F2232C" w:rsidRDefault="00F2232C" w:rsidP="00F2232C">
      <w:r>
        <w:t>Jako szanse dla regionu, które powinny umożliwić jego lepszy rozwój wymieniano :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Wzrastający popyt na usługi turystyczne i agroturystyczne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Możliwość pozyskiwania środków finansowych z Unii Europejskiej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Rozwój turystyki weekendowej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Współpraca w ramach partnerstw lokalnych i regionalnych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Wzrost zainteresowania produktami tradycyjnymi i lokalnymi, w tym obyczajami i folklorem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Bliskość granicy z Niemcami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Wzrastającą zamożność społeczeństwa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Rosnące zapotrzebowanie na odnawialne źródła energii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Zwiększające się dochody gmin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t>Poprawiające się warunki dla rozwoju sektora MSP ( małe i średnie przedsiębiorstwa)</w:t>
      </w:r>
    </w:p>
    <w:p w:rsidR="00F2232C" w:rsidRDefault="00F2232C" w:rsidP="00F2232C">
      <w:pPr>
        <w:pStyle w:val="Akapitzlist"/>
        <w:numPr>
          <w:ilvl w:val="0"/>
          <w:numId w:val="3"/>
        </w:numPr>
      </w:pPr>
      <w:r>
        <w:lastRenderedPageBreak/>
        <w:t>Rozwój gospodarczy Polski szybszy od większości państw UE</w:t>
      </w:r>
    </w:p>
    <w:p w:rsidR="00F2232C" w:rsidRDefault="00F2232C" w:rsidP="00F2232C"/>
    <w:p w:rsidR="00F2232C" w:rsidRDefault="00C9462B" w:rsidP="00C9462B">
      <w:r>
        <w:t>Podczas analizowania zagrożeń ustalono, że najpoważniejszą barierę dla dalszego rozwoju regionu stanowi</w:t>
      </w:r>
      <w:r w:rsidR="00F2232C">
        <w:t>:</w:t>
      </w:r>
    </w:p>
    <w:p w:rsidR="00C9462B" w:rsidRDefault="00F2232C" w:rsidP="00220C1F">
      <w:pPr>
        <w:spacing w:after="0"/>
      </w:pPr>
      <w:r>
        <w:t>1.  N</w:t>
      </w:r>
      <w:r w:rsidR="00C9462B">
        <w:t>admierna biurokracja podczas ubiegania się o dotacje unijne. Te kwestię za najważniejsza zauważyło 98 % osób z grup konsultacyjnych. Na kolejnych miejscach znalazły się:</w:t>
      </w:r>
    </w:p>
    <w:p w:rsidR="00C9462B" w:rsidRDefault="00F2232C" w:rsidP="00220C1F">
      <w:pPr>
        <w:spacing w:after="0"/>
      </w:pPr>
      <w:r>
        <w:t>2. S</w:t>
      </w:r>
      <w:r w:rsidR="00C9462B">
        <w:t>padek zainteresowania mieszkańców aktywnym udziałem w życiu społecznym</w:t>
      </w:r>
    </w:p>
    <w:p w:rsidR="00C9462B" w:rsidRDefault="00F2232C" w:rsidP="00220C1F">
      <w:pPr>
        <w:spacing w:after="0"/>
      </w:pPr>
      <w:r>
        <w:t>3. M</w:t>
      </w:r>
      <w:r w:rsidR="00C9462B">
        <w:t>igracje młodych ludzi do dużych ośrodków miejskich lub zagranicę</w:t>
      </w:r>
    </w:p>
    <w:p w:rsidR="00C9462B" w:rsidRDefault="00F2232C" w:rsidP="00220C1F">
      <w:pPr>
        <w:spacing w:after="0"/>
      </w:pPr>
      <w:r>
        <w:t>4. Z</w:t>
      </w:r>
      <w:r w:rsidR="00C9462B">
        <w:t>agrożenia dla małej przedsiębiorczości ze strony dużych firm i korporacji,</w:t>
      </w:r>
    </w:p>
    <w:p w:rsidR="00C9462B" w:rsidRDefault="00F2232C" w:rsidP="00220C1F">
      <w:pPr>
        <w:spacing w:after="0"/>
      </w:pPr>
      <w:r>
        <w:t>5. Z</w:t>
      </w:r>
      <w:r w:rsidR="00C9462B">
        <w:t>alew tanimi produktami pochodzącymi z rynków wschodnich,</w:t>
      </w:r>
    </w:p>
    <w:p w:rsidR="00F2232C" w:rsidRDefault="00F2232C" w:rsidP="00220C1F">
      <w:pPr>
        <w:spacing w:after="0"/>
      </w:pPr>
      <w:r>
        <w:t>6. S</w:t>
      </w:r>
      <w:r w:rsidR="00075AD7">
        <w:t>powolnienie gospodarcze,</w:t>
      </w:r>
    </w:p>
    <w:p w:rsidR="00075AD7" w:rsidRDefault="00F2232C" w:rsidP="00220C1F">
      <w:pPr>
        <w:spacing w:after="0"/>
      </w:pPr>
      <w:r>
        <w:t>7. N</w:t>
      </w:r>
      <w:r w:rsidR="00075AD7">
        <w:t>iekorzystne zmiany w sytuacji geopolitycznej,</w:t>
      </w:r>
    </w:p>
    <w:p w:rsidR="00075AD7" w:rsidRDefault="00F2232C" w:rsidP="00220C1F">
      <w:pPr>
        <w:spacing w:after="0"/>
      </w:pPr>
      <w:r>
        <w:t>8. K</w:t>
      </w:r>
      <w:r w:rsidR="00075AD7">
        <w:t>onflikty międzynarodowe na tle religijnym</w:t>
      </w:r>
    </w:p>
    <w:p w:rsidR="00220C1F" w:rsidRDefault="00220C1F" w:rsidP="00220C1F">
      <w:pPr>
        <w:spacing w:after="0"/>
      </w:pPr>
    </w:p>
    <w:p w:rsidR="00FB7BA5" w:rsidRDefault="007A709F" w:rsidP="008B24B9">
      <w:pPr>
        <w:ind w:firstLine="708"/>
        <w:jc w:val="both"/>
      </w:pPr>
      <w:r>
        <w:t>Podczas konsultacji w sześciu grupach liczących od 8 do 14 osób podjęto też kwestie określenia kluczowych problemów, które powinny zostać uwzględnione w lokalnej strategii rozwoju . Problemy te następnie należałoby zmienić w cele, do których przypisane zostałyby stosowne przedsięwzięcia. W większości konsultowanych grup dominowało przekonanie, że kluczowym problemem jest mała akt</w:t>
      </w:r>
      <w:r w:rsidR="008B24B9">
        <w:t>ywność społeczna, a celem nowel LSR</w:t>
      </w:r>
      <w:r>
        <w:t xml:space="preserve"> powinno być aktywizowanie społeczności.  Zwracano też uwagę na dużą migrację młodzieży  do większych ośrodków miejskich oraz zagranicę. Celem powinno być ograniczanie tej migracji, stworzenie warunków do tworzenia nowych miejsc pracy i warunków do pozyskiwania mieszkań. </w:t>
      </w:r>
      <w:r w:rsidR="00E12C89">
        <w:t xml:space="preserve"> Podczas konsultacji w Zbąszyniu</w:t>
      </w:r>
      <w:r w:rsidR="003C5D46">
        <w:t xml:space="preserve"> za problemy kluczowe uznano niewielkie wykorzystanie walorów przyrodniczych i kulturowych regionu oraz brak dobrych ofert pracy dla młodzieży. Jako przyczyny podano brak wystarczających informacji dotyczącej walorów regionu, co powoduje brak zainteresowania potencjalnych inwestorów do zaangażowania się w tworzenie miejsc pracy związanych z turystyką. W przypadku braku dobrych ofert pracy dla młodzieży uznano, że przyczyn</w:t>
      </w:r>
      <w:r w:rsidR="005918F1">
        <w:t>ą</w:t>
      </w:r>
      <w:r w:rsidR="003C5D46">
        <w:t xml:space="preserve"> jest niewielka ilość zakładów pracy</w:t>
      </w:r>
      <w:r w:rsidR="005918F1">
        <w:t xml:space="preserve"> , w których młodzież znalazłaby interesującą pracę. Należałoby przewidzieć w strategii takie działania, które umożliwiłyby pozyskiwanie  środków przez przedsiębiorców na tworzenie miejsc pracy dla młodzieży.</w:t>
      </w:r>
    </w:p>
    <w:p w:rsidR="005918F1" w:rsidRDefault="005918F1" w:rsidP="008B24B9">
      <w:pPr>
        <w:ind w:firstLine="708"/>
        <w:jc w:val="both"/>
      </w:pPr>
      <w:r>
        <w:t>Druga grupa uważała natomiast, że jednym z celów powinno być budowanie tożsamości lokalnej, zacieśnianie współpracy, promocja regionu, co zwiększyłoby zainteresowanie podmiotów gospodarczych do rozwijania swoich firm na tym obszarze.</w:t>
      </w:r>
    </w:p>
    <w:sectPr w:rsidR="005918F1" w:rsidSect="00EE480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116"/>
    <w:multiLevelType w:val="hybridMultilevel"/>
    <w:tmpl w:val="733C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7733"/>
    <w:multiLevelType w:val="hybridMultilevel"/>
    <w:tmpl w:val="634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1217"/>
    <w:multiLevelType w:val="hybridMultilevel"/>
    <w:tmpl w:val="D70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7E"/>
    <w:rsid w:val="00075AD7"/>
    <w:rsid w:val="000B4847"/>
    <w:rsid w:val="00180524"/>
    <w:rsid w:val="00220C1F"/>
    <w:rsid w:val="002A6555"/>
    <w:rsid w:val="002C05AB"/>
    <w:rsid w:val="00315993"/>
    <w:rsid w:val="003C5D46"/>
    <w:rsid w:val="00486537"/>
    <w:rsid w:val="004E48FE"/>
    <w:rsid w:val="00525990"/>
    <w:rsid w:val="005918F1"/>
    <w:rsid w:val="00597064"/>
    <w:rsid w:val="005E70C9"/>
    <w:rsid w:val="007A709F"/>
    <w:rsid w:val="0085329F"/>
    <w:rsid w:val="008B24B9"/>
    <w:rsid w:val="009168E1"/>
    <w:rsid w:val="00A071E0"/>
    <w:rsid w:val="00B22636"/>
    <w:rsid w:val="00C9462B"/>
    <w:rsid w:val="00CE5D7E"/>
    <w:rsid w:val="00D753E6"/>
    <w:rsid w:val="00E12C89"/>
    <w:rsid w:val="00EE480E"/>
    <w:rsid w:val="00F2232C"/>
    <w:rsid w:val="00FB7BA5"/>
    <w:rsid w:val="00FC5662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2FD3-9457-45E7-A726-28664C7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LGD Regionu Kozła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Sobczak</dc:creator>
  <cp:lastModifiedBy>Region Kozła</cp:lastModifiedBy>
  <cp:revision>5</cp:revision>
  <dcterms:created xsi:type="dcterms:W3CDTF">2015-10-09T09:45:00Z</dcterms:created>
  <dcterms:modified xsi:type="dcterms:W3CDTF">2015-10-09T09:48:00Z</dcterms:modified>
</cp:coreProperties>
</file>